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bidiVisual/>
        <w:tblW w:w="8766" w:type="dxa"/>
        <w:tblInd w:w="666" w:type="dxa"/>
        <w:tblLayout w:type="fixed"/>
        <w:tblLook w:val="04A0" w:firstRow="1" w:lastRow="0" w:firstColumn="1" w:lastColumn="0" w:noHBand="0" w:noVBand="1"/>
      </w:tblPr>
      <w:tblGrid>
        <w:gridCol w:w="813"/>
        <w:gridCol w:w="714"/>
        <w:gridCol w:w="719"/>
        <w:gridCol w:w="3260"/>
        <w:gridCol w:w="3260"/>
      </w:tblGrid>
      <w:tr w:rsidR="007B283C" w:rsidRPr="007B283C" w14:paraId="0C21ADCF" w14:textId="77777777" w:rsidTr="001945CB">
        <w:trPr>
          <w:trHeight w:val="142"/>
        </w:trPr>
        <w:tc>
          <w:tcPr>
            <w:tcW w:w="813" w:type="dxa"/>
            <w:shd w:val="clear" w:color="auto" w:fill="D9D9D9" w:themeFill="background1" w:themeFillShade="D9"/>
          </w:tcPr>
          <w:p w14:paraId="5BF2A5DA" w14:textId="77777777" w:rsidR="007B283C" w:rsidRPr="007B283C" w:rsidRDefault="007B283C" w:rsidP="001945CB">
            <w:pPr>
              <w:pStyle w:val="Heading1"/>
              <w:keepNext w:val="0"/>
              <w:widowControl w:val="0"/>
              <w:jc w:val="center"/>
              <w:rPr>
                <w:rFonts w:ascii="David" w:hAnsi="David" w:cs="David"/>
                <w:b/>
                <w:bCs/>
                <w:sz w:val="24"/>
                <w:szCs w:val="24"/>
                <w:rtl/>
              </w:rPr>
            </w:pPr>
            <w:r w:rsidRPr="007B283C">
              <w:rPr>
                <w:rFonts w:ascii="David" w:hAnsi="David" w:cs="David"/>
                <w:b/>
                <w:bCs/>
                <w:sz w:val="24"/>
                <w:szCs w:val="24"/>
                <w:rtl/>
              </w:rPr>
              <w:t>מס"ד</w:t>
            </w:r>
          </w:p>
          <w:p w14:paraId="06D18B3E" w14:textId="77777777" w:rsidR="007B283C" w:rsidRPr="007B283C" w:rsidRDefault="007B283C" w:rsidP="001945CB">
            <w:pPr>
              <w:pStyle w:val="Heading1"/>
              <w:keepNext w:val="0"/>
              <w:widowControl w:val="0"/>
              <w:jc w:val="center"/>
              <w:rPr>
                <w:rFonts w:ascii="David" w:hAnsi="David" w:cs="David"/>
                <w:b/>
                <w:bCs/>
                <w:sz w:val="24"/>
                <w:szCs w:val="24"/>
                <w:rtl/>
              </w:rPr>
            </w:pPr>
          </w:p>
        </w:tc>
        <w:tc>
          <w:tcPr>
            <w:tcW w:w="714" w:type="dxa"/>
            <w:shd w:val="clear" w:color="auto" w:fill="D9D9D9" w:themeFill="background1" w:themeFillShade="D9"/>
          </w:tcPr>
          <w:p w14:paraId="2FD78458" w14:textId="77777777" w:rsidR="007B283C" w:rsidRPr="007B283C" w:rsidRDefault="007B283C" w:rsidP="001945CB">
            <w:pPr>
              <w:pStyle w:val="Heading1"/>
              <w:keepNext w:val="0"/>
              <w:widowControl w:val="0"/>
              <w:jc w:val="center"/>
              <w:rPr>
                <w:rFonts w:ascii="David" w:hAnsi="David" w:cs="David"/>
                <w:b/>
                <w:bCs/>
                <w:sz w:val="24"/>
                <w:szCs w:val="24"/>
              </w:rPr>
            </w:pPr>
            <w:r w:rsidRPr="007B283C">
              <w:rPr>
                <w:rFonts w:ascii="David" w:hAnsi="David" w:cs="David"/>
                <w:b/>
                <w:bCs/>
                <w:sz w:val="24"/>
                <w:szCs w:val="24"/>
                <w:rtl/>
              </w:rPr>
              <w:t>עמוד</w:t>
            </w:r>
          </w:p>
        </w:tc>
        <w:tc>
          <w:tcPr>
            <w:tcW w:w="719" w:type="dxa"/>
            <w:shd w:val="clear" w:color="auto" w:fill="D9D9D9" w:themeFill="background1" w:themeFillShade="D9"/>
          </w:tcPr>
          <w:p w14:paraId="79FCEDFF" w14:textId="77777777" w:rsidR="007B283C" w:rsidRPr="007B283C" w:rsidRDefault="007B283C" w:rsidP="001945CB">
            <w:pPr>
              <w:pStyle w:val="Heading1"/>
              <w:keepNext w:val="0"/>
              <w:widowControl w:val="0"/>
              <w:jc w:val="center"/>
              <w:rPr>
                <w:rFonts w:ascii="David" w:hAnsi="David" w:cs="David"/>
                <w:b/>
                <w:bCs/>
                <w:sz w:val="24"/>
                <w:szCs w:val="24"/>
                <w:rtl/>
              </w:rPr>
            </w:pPr>
            <w:r w:rsidRPr="007B283C">
              <w:rPr>
                <w:rFonts w:ascii="David" w:hAnsi="David" w:cs="David"/>
                <w:b/>
                <w:bCs/>
                <w:sz w:val="24"/>
                <w:szCs w:val="24"/>
                <w:rtl/>
              </w:rPr>
              <w:t>סעיף</w:t>
            </w:r>
          </w:p>
        </w:tc>
        <w:tc>
          <w:tcPr>
            <w:tcW w:w="3260" w:type="dxa"/>
            <w:shd w:val="clear" w:color="auto" w:fill="D9D9D9" w:themeFill="background1" w:themeFillShade="D9"/>
          </w:tcPr>
          <w:p w14:paraId="77433B28" w14:textId="77777777" w:rsidR="007B283C" w:rsidRPr="007B283C" w:rsidRDefault="007B283C" w:rsidP="001945CB">
            <w:pPr>
              <w:pStyle w:val="Heading1"/>
              <w:keepNext w:val="0"/>
              <w:widowControl w:val="0"/>
              <w:jc w:val="center"/>
              <w:rPr>
                <w:rFonts w:ascii="David" w:hAnsi="David" w:cs="David"/>
                <w:b/>
                <w:bCs/>
                <w:sz w:val="24"/>
                <w:szCs w:val="24"/>
                <w:rtl/>
              </w:rPr>
            </w:pPr>
            <w:r w:rsidRPr="007B283C">
              <w:rPr>
                <w:rFonts w:ascii="David" w:hAnsi="David" w:cs="David"/>
                <w:b/>
                <w:bCs/>
                <w:sz w:val="24"/>
                <w:szCs w:val="24"/>
                <w:rtl/>
              </w:rPr>
              <w:t>פירוט השאלה</w:t>
            </w:r>
            <w:r w:rsidRPr="007B283C">
              <w:rPr>
                <w:rFonts w:ascii="David" w:hAnsi="David" w:cs="David"/>
                <w:b/>
                <w:bCs/>
                <w:sz w:val="24"/>
                <w:szCs w:val="24"/>
              </w:rPr>
              <w:t xml:space="preserve"> </w:t>
            </w:r>
          </w:p>
        </w:tc>
        <w:tc>
          <w:tcPr>
            <w:tcW w:w="3260" w:type="dxa"/>
          </w:tcPr>
          <w:p w14:paraId="6941608B" w14:textId="77777777" w:rsidR="007B283C" w:rsidRPr="007B283C" w:rsidRDefault="007B283C" w:rsidP="001945CB">
            <w:pPr>
              <w:pStyle w:val="Heading1"/>
              <w:keepNext w:val="0"/>
              <w:widowControl w:val="0"/>
              <w:jc w:val="center"/>
              <w:rPr>
                <w:rFonts w:ascii="David" w:hAnsi="David" w:cs="David"/>
                <w:b/>
                <w:bCs/>
                <w:color w:val="EE0000"/>
                <w:sz w:val="24"/>
                <w:szCs w:val="24"/>
                <w:rtl/>
              </w:rPr>
            </w:pPr>
            <w:r w:rsidRPr="007B283C">
              <w:rPr>
                <w:rFonts w:ascii="David" w:hAnsi="David" w:cs="David"/>
                <w:b/>
                <w:bCs/>
                <w:color w:val="EE0000"/>
                <w:sz w:val="24"/>
                <w:szCs w:val="24"/>
                <w:rtl/>
              </w:rPr>
              <w:t>תשובה</w:t>
            </w:r>
          </w:p>
        </w:tc>
      </w:tr>
      <w:tr w:rsidR="007B283C" w:rsidRPr="007B283C" w14:paraId="422B565C" w14:textId="77777777" w:rsidTr="001945CB">
        <w:trPr>
          <w:trHeight w:val="576"/>
        </w:trPr>
        <w:tc>
          <w:tcPr>
            <w:tcW w:w="813" w:type="dxa"/>
          </w:tcPr>
          <w:p w14:paraId="0315949A"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6DF28679"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2</w:t>
            </w:r>
          </w:p>
        </w:tc>
        <w:tc>
          <w:tcPr>
            <w:tcW w:w="719" w:type="dxa"/>
          </w:tcPr>
          <w:p w14:paraId="0C1DC873"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1.2</w:t>
            </w:r>
          </w:p>
        </w:tc>
        <w:tc>
          <w:tcPr>
            <w:tcW w:w="3260" w:type="dxa"/>
          </w:tcPr>
          <w:p w14:paraId="6D9F8AF6"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להבהיר כי תווי קנייה על פי חוק בתוקף של לפחות 5 שנים ממועד הנפקתם. עוד נבהיר כי תווי הקנייה ניתנים למימוש בסניפי רשתות המזון הכלולים בתו, וכן בעוד רשתות ובתי עסק. ככל שהכוונה לתו קנייה לרשתות מזון, יש להבין כי התווים ניתנים למימוש על כל מגוון המוצרים הנמכרים בחנות ולא רק מזון (כגון טקסטיל, חשמל וכו').</w:t>
            </w:r>
          </w:p>
        </w:tc>
        <w:tc>
          <w:tcPr>
            <w:tcW w:w="3260" w:type="dxa"/>
          </w:tcPr>
          <w:p w14:paraId="1CA2FF7F" w14:textId="77777777" w:rsidR="007B283C" w:rsidRPr="007B283C" w:rsidRDefault="007B283C" w:rsidP="001945CB">
            <w:pPr>
              <w:spacing w:after="160"/>
              <w:rPr>
                <w:rFonts w:ascii="David" w:hAnsi="David" w:cs="David"/>
                <w:color w:val="EE0000"/>
                <w:sz w:val="24"/>
                <w:szCs w:val="24"/>
                <w:rtl/>
              </w:rPr>
            </w:pPr>
            <w:r w:rsidRPr="007B283C">
              <w:rPr>
                <w:rFonts w:ascii="David" w:hAnsi="David" w:cs="David"/>
                <w:color w:val="EE0000"/>
                <w:sz w:val="24"/>
                <w:szCs w:val="24"/>
                <w:rtl/>
              </w:rPr>
              <w:t>במקום "תקופה של שנתיים מיום 01.01.2026 או מיום מסירתם לידי העמותה – לפי המאוחר" יבוא "תקופה של 5 (חמש) שנים ממועד הנפקתם"</w:t>
            </w:r>
          </w:p>
          <w:p w14:paraId="343075FE" w14:textId="77777777" w:rsidR="007B283C" w:rsidRPr="007B283C" w:rsidRDefault="007B283C" w:rsidP="001945CB">
            <w:pPr>
              <w:pStyle w:val="Heading1"/>
              <w:jc w:val="both"/>
              <w:rPr>
                <w:rFonts w:ascii="David" w:hAnsi="David" w:cs="David"/>
                <w:color w:val="EE0000"/>
                <w:sz w:val="24"/>
                <w:szCs w:val="24"/>
                <w:rtl/>
              </w:rPr>
            </w:pPr>
            <w:r w:rsidRPr="007B283C">
              <w:rPr>
                <w:rFonts w:ascii="David" w:eastAsiaTheme="minorHAnsi" w:hAnsi="David" w:cs="David"/>
                <w:color w:val="EE0000"/>
                <w:sz w:val="24"/>
                <w:szCs w:val="24"/>
                <w:rtl/>
              </w:rPr>
              <w:t>כמו כן, יוסף כי "תווי הקנייה ניתנים למימוש על כל מגוון המוצרים הנמכרים ברשת שיווק המזון (לרבות מזון)"</w:t>
            </w:r>
          </w:p>
        </w:tc>
      </w:tr>
      <w:tr w:rsidR="007B283C" w:rsidRPr="007B283C" w14:paraId="7F6E5F70" w14:textId="77777777" w:rsidTr="001945CB">
        <w:trPr>
          <w:trHeight w:val="576"/>
        </w:trPr>
        <w:tc>
          <w:tcPr>
            <w:tcW w:w="813" w:type="dxa"/>
          </w:tcPr>
          <w:p w14:paraId="139CCD09"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01727BEF"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2</w:t>
            </w:r>
          </w:p>
        </w:tc>
        <w:tc>
          <w:tcPr>
            <w:tcW w:w="719" w:type="dxa"/>
          </w:tcPr>
          <w:p w14:paraId="20093301"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1.3</w:t>
            </w:r>
          </w:p>
        </w:tc>
        <w:tc>
          <w:tcPr>
            <w:tcW w:w="3260" w:type="dxa"/>
          </w:tcPr>
          <w:p w14:paraId="1BF6632A"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 xml:space="preserve">עם כמה זוכים צפויה העמותה להתקשר? </w:t>
            </w:r>
          </w:p>
        </w:tc>
        <w:tc>
          <w:tcPr>
            <w:tcW w:w="3260" w:type="dxa"/>
          </w:tcPr>
          <w:p w14:paraId="56471145"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rtl/>
              </w:rPr>
              <w:t>זוכה אחד</w:t>
            </w:r>
          </w:p>
        </w:tc>
      </w:tr>
      <w:tr w:rsidR="007B283C" w:rsidRPr="007B283C" w14:paraId="7D4023B9" w14:textId="77777777" w:rsidTr="001945CB">
        <w:trPr>
          <w:trHeight w:val="576"/>
        </w:trPr>
        <w:tc>
          <w:tcPr>
            <w:tcW w:w="813" w:type="dxa"/>
          </w:tcPr>
          <w:p w14:paraId="48504C44"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4B8A9ADA"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4</w:t>
            </w:r>
          </w:p>
        </w:tc>
        <w:tc>
          <w:tcPr>
            <w:tcW w:w="719" w:type="dxa"/>
          </w:tcPr>
          <w:p w14:paraId="1F638858"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1.20</w:t>
            </w:r>
          </w:p>
        </w:tc>
        <w:tc>
          <w:tcPr>
            <w:tcW w:w="3260" w:type="dxa"/>
          </w:tcPr>
          <w:p w14:paraId="48726811"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העמידה ביעד ההספקה, בכפוף לקבלת הודעת זכייה והזמנה חתומה עבור התווים בידי הספק הזוכה עד ליום 30.11.2025.</w:t>
            </w:r>
          </w:p>
          <w:p w14:paraId="680F34AE"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להבהיר כי הספק לא יהיה אחראי לכל עיכוב או מניעה לקיים חיוביו עקב אירועי כוח עליון, לרבות מצב לחימתי או בטחוני, פנדמיה בריאותית וכל נסיבה שאינה בשליטת הספק. הספק יודיע לעמותה על אירועי כוח עליון המעכבים אותו או המונעים ממנו לקיים חיוביו במועד, ויעשה ככל יכולתו הסבירה לקיים חיוביו מוקדם ככל הניתן.</w:t>
            </w:r>
          </w:p>
        </w:tc>
        <w:tc>
          <w:tcPr>
            <w:tcW w:w="3260" w:type="dxa"/>
          </w:tcPr>
          <w:p w14:paraId="2A64F59E" w14:textId="77777777" w:rsidR="007B283C" w:rsidRPr="007B283C" w:rsidRDefault="007B283C" w:rsidP="001945CB">
            <w:pPr>
              <w:spacing w:after="160"/>
              <w:rPr>
                <w:rFonts w:ascii="David" w:hAnsi="David" w:cs="David"/>
                <w:color w:val="EE0000"/>
                <w:sz w:val="24"/>
                <w:szCs w:val="24"/>
                <w:u w:val="single"/>
                <w:rtl/>
              </w:rPr>
            </w:pPr>
            <w:r w:rsidRPr="007B283C">
              <w:rPr>
                <w:rFonts w:ascii="David" w:hAnsi="David" w:cs="David"/>
                <w:color w:val="EE0000"/>
                <w:sz w:val="24"/>
                <w:szCs w:val="24"/>
                <w:u w:val="single"/>
                <w:rtl/>
              </w:rPr>
              <w:t>בסיפא לסעיף 1.20 יבוא –</w:t>
            </w:r>
          </w:p>
          <w:p w14:paraId="7E2F7248" w14:textId="77777777" w:rsidR="007B283C" w:rsidRPr="007B283C" w:rsidRDefault="007B283C" w:rsidP="001945CB">
            <w:pPr>
              <w:pStyle w:val="Heading1"/>
              <w:jc w:val="both"/>
              <w:rPr>
                <w:rFonts w:ascii="David" w:hAnsi="David" w:cs="David"/>
                <w:sz w:val="24"/>
                <w:szCs w:val="24"/>
                <w:rtl/>
              </w:rPr>
            </w:pPr>
            <w:r w:rsidRPr="007B283C">
              <w:rPr>
                <w:rFonts w:ascii="David" w:eastAsiaTheme="minorHAnsi" w:hAnsi="David" w:cs="David"/>
                <w:color w:val="EE0000"/>
                <w:sz w:val="24"/>
                <w:szCs w:val="24"/>
                <w:rtl/>
              </w:rPr>
              <w:t>"מובהר כי אספקה בפועל של תווי הקנייה לעמותה תיעשה תוך 10 ימים עסקים ממועד שליחת ההזמנה על-ידי העמותה למציע ובאמצעות שליח מטעם המציע. המציע לא יהיה אחראי לכל עיכוב או מניעה לקיים חיוביו עקב אירועי כוח עליון, לרבות מצב לחימתי או ביטחוני, פנדמיה בריאותית והמציע יודיע לעמותה על אירוע/י כוח עליון כאמור המעכבים אותו או המונעים ממנו לקיים חיוביו במועד והכל בלבד שהמציע יפעל בשקידה ראויה על-מנת לנסות ולקיים את חיוביו מוקדם ככל הניתן."</w:t>
            </w:r>
          </w:p>
        </w:tc>
      </w:tr>
      <w:tr w:rsidR="007B283C" w:rsidRPr="007B283C" w14:paraId="287A3D17" w14:textId="77777777" w:rsidTr="001945CB">
        <w:trPr>
          <w:trHeight w:val="576"/>
        </w:trPr>
        <w:tc>
          <w:tcPr>
            <w:tcW w:w="813" w:type="dxa"/>
          </w:tcPr>
          <w:p w14:paraId="20A75BE2"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4F7CA153"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4</w:t>
            </w:r>
          </w:p>
        </w:tc>
        <w:tc>
          <w:tcPr>
            <w:tcW w:w="719" w:type="dxa"/>
          </w:tcPr>
          <w:p w14:paraId="7B45DE24"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1.23</w:t>
            </w:r>
          </w:p>
        </w:tc>
        <w:tc>
          <w:tcPr>
            <w:tcW w:w="3260" w:type="dxa"/>
          </w:tcPr>
          <w:p w14:paraId="426807FC"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 xml:space="preserve">נבקש לתקן ל- 7 ימי עסקים </w:t>
            </w:r>
          </w:p>
        </w:tc>
        <w:tc>
          <w:tcPr>
            <w:tcW w:w="3260" w:type="dxa"/>
          </w:tcPr>
          <w:p w14:paraId="2C072098"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rtl/>
              </w:rPr>
              <w:t>לא ניתן להיענות לבקשה</w:t>
            </w:r>
          </w:p>
        </w:tc>
      </w:tr>
      <w:tr w:rsidR="007B283C" w:rsidRPr="007B283C" w14:paraId="3A1ECA86" w14:textId="77777777" w:rsidTr="001945CB">
        <w:trPr>
          <w:trHeight w:val="576"/>
        </w:trPr>
        <w:tc>
          <w:tcPr>
            <w:tcW w:w="813" w:type="dxa"/>
          </w:tcPr>
          <w:p w14:paraId="748654F9"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6076C872"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4</w:t>
            </w:r>
          </w:p>
        </w:tc>
        <w:tc>
          <w:tcPr>
            <w:tcW w:w="719" w:type="dxa"/>
          </w:tcPr>
          <w:p w14:paraId="47F49E25"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1.26</w:t>
            </w:r>
          </w:p>
        </w:tc>
        <w:tc>
          <w:tcPr>
            <w:tcW w:w="3260" w:type="dxa"/>
          </w:tcPr>
          <w:p w14:paraId="0E63DE64"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להבהיר כי חילוט הערבות יהיה כפוף למתן הזדמנות למציע / לספק הזוכה להשמיע טענותיו כנגד החילוט ולאפשר לו לתקן את הדרוש תיקון.</w:t>
            </w:r>
          </w:p>
        </w:tc>
        <w:tc>
          <w:tcPr>
            <w:tcW w:w="3260" w:type="dxa"/>
          </w:tcPr>
          <w:p w14:paraId="285759DA"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rtl/>
              </w:rPr>
              <w:t xml:space="preserve">מצוין בסעיף כי ועדת המכרזים של העמותה תהיה רשאית להורות על חילוט הערבות של המציע, כולה או חלקה, </w:t>
            </w:r>
            <w:r w:rsidRPr="007B283C">
              <w:rPr>
                <w:rFonts w:ascii="David" w:hAnsi="David" w:cs="David"/>
                <w:color w:val="EE0000"/>
                <w:sz w:val="24"/>
                <w:szCs w:val="24"/>
                <w:u w:val="single"/>
                <w:rtl/>
              </w:rPr>
              <w:t>אחרי שנתנה לו הזדמנות להשמיע טענותיו</w:t>
            </w:r>
            <w:r w:rsidRPr="007B283C">
              <w:rPr>
                <w:rFonts w:ascii="David" w:hAnsi="David" w:cs="David"/>
                <w:color w:val="EE0000"/>
                <w:sz w:val="24"/>
                <w:szCs w:val="24"/>
                <w:rtl/>
              </w:rPr>
              <w:t>. לא יובהר מעבר לכך.</w:t>
            </w:r>
          </w:p>
        </w:tc>
      </w:tr>
      <w:tr w:rsidR="007B283C" w:rsidRPr="007B283C" w14:paraId="6AE05443" w14:textId="77777777" w:rsidTr="001945CB">
        <w:trPr>
          <w:trHeight w:val="576"/>
        </w:trPr>
        <w:tc>
          <w:tcPr>
            <w:tcW w:w="813" w:type="dxa"/>
          </w:tcPr>
          <w:p w14:paraId="4A4C57B6"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6DCDC392"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6</w:t>
            </w:r>
          </w:p>
        </w:tc>
        <w:tc>
          <w:tcPr>
            <w:tcW w:w="719" w:type="dxa"/>
          </w:tcPr>
          <w:p w14:paraId="09D4ABCF"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3.7</w:t>
            </w:r>
          </w:p>
        </w:tc>
        <w:tc>
          <w:tcPr>
            <w:tcW w:w="3260" w:type="dxa"/>
          </w:tcPr>
          <w:p w14:paraId="3ECFC9BD"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להבהיר כי לתו יצורף עלון המפרט את רשימת הרשתות המכבדות את התווים. לא ניתן יהיה לספק עלון עם רשימה של סניפים וכתובתיהם.</w:t>
            </w:r>
          </w:p>
        </w:tc>
        <w:tc>
          <w:tcPr>
            <w:tcW w:w="3260" w:type="dxa"/>
          </w:tcPr>
          <w:p w14:paraId="447B3193" w14:textId="77777777" w:rsidR="007B283C" w:rsidRPr="007B283C" w:rsidRDefault="007B283C" w:rsidP="001945CB">
            <w:pPr>
              <w:rPr>
                <w:rFonts w:ascii="David" w:eastAsia="Times New Roman" w:hAnsi="David" w:cs="David"/>
                <w:color w:val="EE0000"/>
                <w:sz w:val="24"/>
                <w:szCs w:val="24"/>
                <w:u w:val="single"/>
                <w:rtl/>
              </w:rPr>
            </w:pPr>
            <w:r w:rsidRPr="007B283C">
              <w:rPr>
                <w:rFonts w:ascii="David" w:eastAsia="Times New Roman" w:hAnsi="David" w:cs="David"/>
                <w:color w:val="EE0000"/>
                <w:sz w:val="24"/>
                <w:szCs w:val="24"/>
                <w:u w:val="single"/>
                <w:rtl/>
              </w:rPr>
              <w:t>להלן נוסחו המתוקן של סעיף 3.7 –</w:t>
            </w:r>
          </w:p>
          <w:p w14:paraId="4529AD0B" w14:textId="77777777" w:rsidR="007B283C" w:rsidRPr="007B283C" w:rsidRDefault="007B283C" w:rsidP="001945CB">
            <w:pPr>
              <w:rPr>
                <w:rFonts w:ascii="David" w:eastAsia="Times New Roman" w:hAnsi="David" w:cs="David"/>
                <w:color w:val="EE0000"/>
                <w:sz w:val="24"/>
                <w:szCs w:val="24"/>
                <w:rtl/>
              </w:rPr>
            </w:pPr>
            <w:r w:rsidRPr="007B283C">
              <w:rPr>
                <w:rFonts w:ascii="David" w:eastAsia="Times New Roman" w:hAnsi="David" w:cs="David"/>
                <w:color w:val="EE0000"/>
                <w:sz w:val="24"/>
                <w:szCs w:val="24"/>
                <w:rtl/>
              </w:rPr>
              <w:t xml:space="preserve">המציע יפעיל מוקד תמיכה טלפוני לצורך מימוש תווי הקנייה. המציע יצרף לכל תו קנייה ברושור המפרט, לפחות, 3 (שלושה) סניפים פעילים שלו בתחומי העיר חיפה, כתובותיהם ואופן מימוש תו הקנייה. </w:t>
            </w:r>
          </w:p>
        </w:tc>
      </w:tr>
      <w:tr w:rsidR="007B283C" w:rsidRPr="007B283C" w14:paraId="706B8F8E" w14:textId="77777777" w:rsidTr="001945CB">
        <w:trPr>
          <w:trHeight w:val="576"/>
        </w:trPr>
        <w:tc>
          <w:tcPr>
            <w:tcW w:w="813" w:type="dxa"/>
          </w:tcPr>
          <w:p w14:paraId="3B0D834E"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10730FA5"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6</w:t>
            </w:r>
          </w:p>
        </w:tc>
        <w:tc>
          <w:tcPr>
            <w:tcW w:w="719" w:type="dxa"/>
          </w:tcPr>
          <w:p w14:paraId="292BEB49"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3.8</w:t>
            </w:r>
          </w:p>
        </w:tc>
        <w:tc>
          <w:tcPr>
            <w:tcW w:w="3260" w:type="dxa"/>
          </w:tcPr>
          <w:p w14:paraId="14EE07CB"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להבהיר כי ניתן להחזיר עד 5% מהתווים שהונפקו ועד 4 חודשים ממועד הספקת העסקה.</w:t>
            </w:r>
          </w:p>
        </w:tc>
        <w:tc>
          <w:tcPr>
            <w:tcW w:w="3260" w:type="dxa"/>
          </w:tcPr>
          <w:p w14:paraId="0AADBA09" w14:textId="77777777" w:rsidR="007B283C" w:rsidRPr="007B283C" w:rsidRDefault="007B283C" w:rsidP="001945CB">
            <w:pPr>
              <w:rPr>
                <w:rFonts w:ascii="David" w:eastAsia="Times New Roman" w:hAnsi="David" w:cs="David"/>
                <w:color w:val="EE0000"/>
                <w:sz w:val="24"/>
                <w:szCs w:val="24"/>
                <w:u w:val="single"/>
                <w:rtl/>
              </w:rPr>
            </w:pPr>
            <w:r w:rsidRPr="007B283C">
              <w:rPr>
                <w:rFonts w:ascii="David" w:eastAsia="Times New Roman" w:hAnsi="David" w:cs="David"/>
                <w:color w:val="EE0000"/>
                <w:sz w:val="24"/>
                <w:szCs w:val="24"/>
                <w:u w:val="single"/>
                <w:rtl/>
              </w:rPr>
              <w:t>להלן נוסחו המתוקן של סעיף 3.8. –</w:t>
            </w:r>
          </w:p>
          <w:p w14:paraId="45C6A317" w14:textId="77777777" w:rsidR="007B283C" w:rsidRPr="007B283C" w:rsidRDefault="007B283C" w:rsidP="001945CB">
            <w:pPr>
              <w:pStyle w:val="Heading1"/>
              <w:jc w:val="both"/>
              <w:rPr>
                <w:rFonts w:ascii="David" w:hAnsi="David" w:cs="David"/>
                <w:sz w:val="24"/>
                <w:szCs w:val="24"/>
                <w:rtl/>
              </w:rPr>
            </w:pPr>
            <w:r w:rsidRPr="007B283C">
              <w:rPr>
                <w:rFonts w:ascii="David" w:hAnsi="David" w:cs="David"/>
                <w:color w:val="EE0000"/>
                <w:sz w:val="24"/>
                <w:szCs w:val="24"/>
                <w:rtl/>
              </w:rPr>
              <w:t>העמותה תהא רשאית להחזיר עד 25% מסך כל תווי הקנייה, ללא תשלום נוסף, ולקבל החזר מלא בגינם וזאת משך תקופה בת 90 יום ממועד מסירתם בכתובת העמותה ובכפוף לכך שלא נעשה שימוש באותם תווי הקנייה.</w:t>
            </w:r>
          </w:p>
        </w:tc>
      </w:tr>
      <w:tr w:rsidR="007B283C" w:rsidRPr="007B283C" w14:paraId="5CE628FB" w14:textId="77777777" w:rsidTr="001945CB">
        <w:trPr>
          <w:trHeight w:val="576"/>
        </w:trPr>
        <w:tc>
          <w:tcPr>
            <w:tcW w:w="813" w:type="dxa"/>
          </w:tcPr>
          <w:p w14:paraId="696F317F"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69CAB92A"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13</w:t>
            </w:r>
          </w:p>
        </w:tc>
        <w:tc>
          <w:tcPr>
            <w:tcW w:w="719" w:type="dxa"/>
          </w:tcPr>
          <w:p w14:paraId="212E6CE8"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5.8</w:t>
            </w:r>
          </w:p>
        </w:tc>
        <w:tc>
          <w:tcPr>
            <w:tcW w:w="3260" w:type="dxa"/>
          </w:tcPr>
          <w:p w14:paraId="0D14C24C"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להוסיף כי האחריות היא כלפי העמותה ולמחוק את המילים "מלאה ובלעדית". כן נבקש להוסיף שהאחריות היא על פי דין וכי הספק הזוכה אינו אחראי לכל עניין הנובע ממעשה או מחדל של העמותה או הפועלים מטעמה.</w:t>
            </w:r>
          </w:p>
        </w:tc>
        <w:tc>
          <w:tcPr>
            <w:tcW w:w="3260" w:type="dxa"/>
          </w:tcPr>
          <w:p w14:paraId="706E920E"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rtl/>
              </w:rPr>
              <w:t>במקום "מלאה ובלעדית" יבוא "על-פי דין".</w:t>
            </w:r>
          </w:p>
        </w:tc>
      </w:tr>
      <w:tr w:rsidR="007B283C" w:rsidRPr="007B283C" w14:paraId="5AF9E91E" w14:textId="77777777" w:rsidTr="001945CB">
        <w:trPr>
          <w:trHeight w:val="576"/>
        </w:trPr>
        <w:tc>
          <w:tcPr>
            <w:tcW w:w="813" w:type="dxa"/>
          </w:tcPr>
          <w:p w14:paraId="04BF15CE"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31B4338A"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13</w:t>
            </w:r>
          </w:p>
        </w:tc>
        <w:tc>
          <w:tcPr>
            <w:tcW w:w="719" w:type="dxa"/>
          </w:tcPr>
          <w:p w14:paraId="6929F558"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5.9</w:t>
            </w:r>
          </w:p>
        </w:tc>
        <w:tc>
          <w:tcPr>
            <w:tcW w:w="3260" w:type="dxa"/>
          </w:tcPr>
          <w:p w14:paraId="09B6245D"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להוסיף "והכל בכפוף להוראות ההסכם והמכרז"</w:t>
            </w:r>
          </w:p>
        </w:tc>
        <w:tc>
          <w:tcPr>
            <w:tcW w:w="3260" w:type="dxa"/>
          </w:tcPr>
          <w:p w14:paraId="2B9DACC6" w14:textId="77777777" w:rsidR="007B283C" w:rsidRPr="007B283C" w:rsidRDefault="007B283C" w:rsidP="001945CB">
            <w:pPr>
              <w:pStyle w:val="Heading1"/>
              <w:jc w:val="both"/>
              <w:rPr>
                <w:rFonts w:ascii="David" w:hAnsi="David" w:cs="David"/>
                <w:sz w:val="24"/>
                <w:szCs w:val="24"/>
                <w:rtl/>
              </w:rPr>
            </w:pPr>
            <w:r w:rsidRPr="007B283C">
              <w:rPr>
                <w:rFonts w:ascii="David" w:hAnsi="David" w:cs="David"/>
                <w:color w:val="EE0000"/>
                <w:sz w:val="24"/>
                <w:szCs w:val="24"/>
                <w:rtl/>
              </w:rPr>
              <w:t>בסיפא יבוא "והכל בכפוף להוראות הסכם זה והמכרז"</w:t>
            </w:r>
          </w:p>
        </w:tc>
      </w:tr>
      <w:tr w:rsidR="007B283C" w:rsidRPr="007B283C" w14:paraId="695B51AA" w14:textId="77777777" w:rsidTr="001945CB">
        <w:trPr>
          <w:trHeight w:val="576"/>
        </w:trPr>
        <w:tc>
          <w:tcPr>
            <w:tcW w:w="813" w:type="dxa"/>
          </w:tcPr>
          <w:p w14:paraId="4070FEC9"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49EB4B85"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13</w:t>
            </w:r>
          </w:p>
        </w:tc>
        <w:tc>
          <w:tcPr>
            <w:tcW w:w="719" w:type="dxa"/>
          </w:tcPr>
          <w:p w14:paraId="62BD19BC"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5.12</w:t>
            </w:r>
          </w:p>
        </w:tc>
        <w:tc>
          <w:tcPr>
            <w:tcW w:w="3260" w:type="dxa"/>
          </w:tcPr>
          <w:p w14:paraId="0B913B22"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להבהיר כי אין באמור בסעיף למנוע מהספק להיעזר בקבלני משנה מטעמו בהספקת השירותים, לרבות לצורך שליחת התווים לעמותה.</w:t>
            </w:r>
          </w:p>
        </w:tc>
        <w:tc>
          <w:tcPr>
            <w:tcW w:w="3260" w:type="dxa"/>
          </w:tcPr>
          <w:p w14:paraId="5D96482A"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rtl/>
              </w:rPr>
              <w:t>בסיפא יבוא "אין באמור בסעיף זה בכדי למנוע מהמציע להיעזר בקבלני משנה מטעמו לאספקת השירותים לרבות לצורך שליחת התווים לעמותה ובלבד שתווי הקנייה יהיו למימוש ברשת שיווק המזון של המציע עצמו.</w:t>
            </w:r>
          </w:p>
        </w:tc>
      </w:tr>
      <w:tr w:rsidR="007B283C" w:rsidRPr="007B283C" w14:paraId="78E94996" w14:textId="77777777" w:rsidTr="001945CB">
        <w:trPr>
          <w:trHeight w:val="576"/>
        </w:trPr>
        <w:tc>
          <w:tcPr>
            <w:tcW w:w="813" w:type="dxa"/>
          </w:tcPr>
          <w:p w14:paraId="6F58E1DD"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3FDDC5D5"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15</w:t>
            </w:r>
          </w:p>
        </w:tc>
        <w:tc>
          <w:tcPr>
            <w:tcW w:w="719" w:type="dxa"/>
          </w:tcPr>
          <w:p w14:paraId="39FB619C"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8.1</w:t>
            </w:r>
          </w:p>
        </w:tc>
        <w:tc>
          <w:tcPr>
            <w:tcW w:w="3260" w:type="dxa"/>
          </w:tcPr>
          <w:p w14:paraId="7BDC605B"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עסקה לאספקת תווי קניה היא ללא מע"מ ולא מונפקת בגינה חשבונית מס. בעת הספקת העסקה נמסרים העתקי תעודת משלוח וחשבון תווים.</w:t>
            </w:r>
          </w:p>
        </w:tc>
        <w:tc>
          <w:tcPr>
            <w:tcW w:w="3260" w:type="dxa"/>
          </w:tcPr>
          <w:p w14:paraId="50697639" w14:textId="77777777" w:rsidR="007B283C" w:rsidRPr="007B283C" w:rsidRDefault="007B283C" w:rsidP="001945CB">
            <w:pPr>
              <w:pStyle w:val="Heading1"/>
              <w:jc w:val="both"/>
              <w:rPr>
                <w:rFonts w:ascii="David" w:hAnsi="David" w:cs="David"/>
                <w:sz w:val="24"/>
                <w:szCs w:val="24"/>
                <w:rtl/>
              </w:rPr>
            </w:pPr>
            <w:r w:rsidRPr="007B283C">
              <w:rPr>
                <w:rFonts w:ascii="David" w:hAnsi="David" w:cs="David"/>
                <w:color w:val="EE0000"/>
                <w:sz w:val="24"/>
                <w:szCs w:val="24"/>
                <w:rtl/>
              </w:rPr>
              <w:t>במקום "התמורה תשלום למציע כנגד קבלת חשבונית מס כדין" יבוא "התמורה תשולם למציע כנגד חשבון עסקה/דרישת תשלום/חשבון תווים ותעודת משלוח מטעם המציע. המציע יספק לעמותה קבלה בגין תשלום התמורה וזאת בתוך 3 ימי עסקים ממועד תשלומה בפועל."</w:t>
            </w:r>
          </w:p>
        </w:tc>
      </w:tr>
      <w:tr w:rsidR="007B283C" w:rsidRPr="007B283C" w14:paraId="5506D66F" w14:textId="77777777" w:rsidTr="001945CB">
        <w:trPr>
          <w:trHeight w:val="576"/>
        </w:trPr>
        <w:tc>
          <w:tcPr>
            <w:tcW w:w="813" w:type="dxa"/>
          </w:tcPr>
          <w:p w14:paraId="28B8FA60"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5B6A0A84"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15</w:t>
            </w:r>
          </w:p>
        </w:tc>
        <w:tc>
          <w:tcPr>
            <w:tcW w:w="719" w:type="dxa"/>
          </w:tcPr>
          <w:p w14:paraId="0E225B66"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10.1</w:t>
            </w:r>
          </w:p>
        </w:tc>
        <w:tc>
          <w:tcPr>
            <w:tcW w:w="3260" w:type="dxa"/>
          </w:tcPr>
          <w:p w14:paraId="57190BAE"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למחוק את המילה "נאמנות" – השירותים נשוא ההסכם אינם מסוג השירותים המחייבים חובת נאמנות מצד הספק כלפי המזמין (בשונה למשל משירותים אישיים כגון עריכת דין). כאמור לעיל נבקש למחוק את המילה "בלעדי".</w:t>
            </w:r>
          </w:p>
        </w:tc>
        <w:tc>
          <w:tcPr>
            <w:tcW w:w="3260" w:type="dxa"/>
          </w:tcPr>
          <w:p w14:paraId="76E1F1D1" w14:textId="77777777" w:rsidR="007B283C" w:rsidRPr="007B283C" w:rsidRDefault="007B283C" w:rsidP="001945CB">
            <w:pPr>
              <w:pStyle w:val="Heading1"/>
              <w:jc w:val="both"/>
              <w:rPr>
                <w:rFonts w:ascii="David" w:hAnsi="David" w:cs="David"/>
                <w:sz w:val="24"/>
                <w:szCs w:val="24"/>
                <w:rtl/>
              </w:rPr>
            </w:pPr>
            <w:r w:rsidRPr="007B283C">
              <w:rPr>
                <w:rFonts w:ascii="David" w:hAnsi="David" w:cs="David"/>
                <w:color w:val="EE0000"/>
                <w:sz w:val="24"/>
                <w:szCs w:val="24"/>
                <w:rtl/>
              </w:rPr>
              <w:t>במקום "נאמנות" יבוא "בקפדנות"</w:t>
            </w:r>
          </w:p>
        </w:tc>
      </w:tr>
      <w:tr w:rsidR="007B283C" w:rsidRPr="007B283C" w14:paraId="3A865AB8" w14:textId="77777777" w:rsidTr="001945CB">
        <w:trPr>
          <w:trHeight w:val="576"/>
        </w:trPr>
        <w:tc>
          <w:tcPr>
            <w:tcW w:w="813" w:type="dxa"/>
          </w:tcPr>
          <w:p w14:paraId="025D55BE"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51AEFF56"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15</w:t>
            </w:r>
          </w:p>
        </w:tc>
        <w:tc>
          <w:tcPr>
            <w:tcW w:w="719" w:type="dxa"/>
          </w:tcPr>
          <w:p w14:paraId="4186719E"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10.2</w:t>
            </w:r>
          </w:p>
        </w:tc>
        <w:tc>
          <w:tcPr>
            <w:tcW w:w="3260" w:type="dxa"/>
          </w:tcPr>
          <w:p w14:paraId="5DC1900A"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לקבוע כי אחריותו של הספק לפי סעיף זה מוגבלת לנזקים ישירים בלבד. בנוסף נבקש הבהרתכם כי הספק לא יהיה אחראי לכל נזק שהוא עקב מעשה או מחדל של המזמין או מי מטעמו והוא אינו פוטר את העמותה מכל נזק כאמור.</w:t>
            </w:r>
          </w:p>
          <w:p w14:paraId="65BFC113"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באשר לשיפוי - שיפוי לפי סעיף זה מוגבל לנזקים ישירים בלבד וכפוף לכך שהמזמין ימסור לספק הודעה על כל תביעה או דרישה בגינה נדרש שיפוי כאמור, יאפשר לספק להתגונן בפני כל תביעה או דרישה ולא יתפשר בהם ללא הסכמת הספק. כמו כן, שיפוי ייעשה על פי פסק דין חלוט המחייב את המזמין בתשלום. עוד ייקבע כי שיפוי בגין שכ"ט יהיה בסכום סביר.</w:t>
            </w:r>
          </w:p>
        </w:tc>
        <w:tc>
          <w:tcPr>
            <w:tcW w:w="3260" w:type="dxa"/>
          </w:tcPr>
          <w:p w14:paraId="085ECFE5" w14:textId="77777777" w:rsidR="007B283C" w:rsidRPr="007B283C" w:rsidRDefault="007B283C" w:rsidP="001945CB">
            <w:pPr>
              <w:spacing w:after="160"/>
              <w:rPr>
                <w:rFonts w:ascii="David" w:hAnsi="David" w:cs="David"/>
                <w:color w:val="EE0000"/>
                <w:sz w:val="24"/>
                <w:szCs w:val="24"/>
                <w:rtl/>
              </w:rPr>
            </w:pPr>
            <w:r w:rsidRPr="007B283C">
              <w:rPr>
                <w:rFonts w:ascii="David" w:hAnsi="David" w:cs="David"/>
                <w:color w:val="EE0000"/>
                <w:sz w:val="24"/>
                <w:szCs w:val="24"/>
                <w:rtl/>
              </w:rPr>
              <w:t>לאחר המילה "לשלם" יבוא "בהתאם לפסק-דין".</w:t>
            </w:r>
          </w:p>
          <w:p w14:paraId="385A3D70" w14:textId="77777777" w:rsidR="007B283C" w:rsidRPr="007B283C" w:rsidRDefault="007B283C" w:rsidP="001945CB">
            <w:pPr>
              <w:spacing w:after="160"/>
              <w:rPr>
                <w:rFonts w:ascii="David" w:hAnsi="David" w:cs="David"/>
                <w:color w:val="EE0000"/>
                <w:sz w:val="24"/>
                <w:szCs w:val="24"/>
                <w:rtl/>
              </w:rPr>
            </w:pPr>
            <w:r w:rsidRPr="007B283C">
              <w:rPr>
                <w:rFonts w:ascii="David" w:hAnsi="David" w:cs="David"/>
                <w:color w:val="EE0000"/>
                <w:sz w:val="24"/>
                <w:szCs w:val="24"/>
                <w:rtl/>
              </w:rPr>
              <w:t xml:space="preserve">בסיפא לסעיף יבוא – </w:t>
            </w:r>
          </w:p>
          <w:p w14:paraId="78F3C2D5" w14:textId="77777777" w:rsidR="007B283C" w:rsidRPr="007B283C" w:rsidRDefault="007B283C" w:rsidP="001945CB">
            <w:pPr>
              <w:pStyle w:val="Heading1"/>
              <w:jc w:val="both"/>
              <w:rPr>
                <w:rFonts w:ascii="David" w:hAnsi="David" w:cs="David"/>
                <w:sz w:val="24"/>
                <w:szCs w:val="24"/>
                <w:rtl/>
              </w:rPr>
            </w:pPr>
            <w:r w:rsidRPr="007B283C">
              <w:rPr>
                <w:rFonts w:ascii="David" w:eastAsiaTheme="minorHAnsi" w:hAnsi="David" w:cs="David"/>
                <w:color w:val="EE0000"/>
                <w:sz w:val="24"/>
                <w:szCs w:val="24"/>
                <w:rtl/>
              </w:rPr>
              <w:t>"העמותה תיידע את המציע בכל תביעה ו/או דרישה ותיתן לו אפשרות סבירה להתגונן."</w:t>
            </w:r>
          </w:p>
        </w:tc>
      </w:tr>
      <w:tr w:rsidR="007B283C" w:rsidRPr="007B283C" w14:paraId="71F0B336" w14:textId="77777777" w:rsidTr="001945CB">
        <w:trPr>
          <w:trHeight w:val="576"/>
        </w:trPr>
        <w:tc>
          <w:tcPr>
            <w:tcW w:w="813" w:type="dxa"/>
          </w:tcPr>
          <w:p w14:paraId="4F5309B4"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3FA81575"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15</w:t>
            </w:r>
          </w:p>
        </w:tc>
        <w:tc>
          <w:tcPr>
            <w:tcW w:w="719" w:type="dxa"/>
          </w:tcPr>
          <w:p w14:paraId="2E4C05E4"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11</w:t>
            </w:r>
          </w:p>
        </w:tc>
        <w:tc>
          <w:tcPr>
            <w:tcW w:w="3260" w:type="dxa"/>
          </w:tcPr>
          <w:p w14:paraId="358AD43F"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על אף כל האמור בסעיף נבקש להבהיר כי המזמין יהיה זכאי לקזז או לעכב סכומים אותם חייב לו הספק מכוח הסכם בלבד וזאת אך ורק כנגד אותם סכומים אותם חייב המזמין לספק מכוח הסכם זה בלבד. כל קיזוז או עיכבון כאמור יהיה כפוף לכך שהמזמין נתן לספק התראה של 14 ימים בכתב על כוונתו לביצוע הקיזוז או עיכבון כאמור ומתן הזדמנות לספק להשמיע טענותיו בטרם הקיזוז או העיכבון לתקן את הדרוש תיקון.</w:t>
            </w:r>
          </w:p>
        </w:tc>
        <w:tc>
          <w:tcPr>
            <w:tcW w:w="3260" w:type="dxa"/>
          </w:tcPr>
          <w:p w14:paraId="29FD3540" w14:textId="77777777" w:rsidR="007B283C" w:rsidRPr="007B283C" w:rsidRDefault="007B283C" w:rsidP="001945CB">
            <w:pPr>
              <w:pStyle w:val="Heading1"/>
              <w:jc w:val="both"/>
              <w:rPr>
                <w:rFonts w:ascii="David" w:hAnsi="David" w:cs="David"/>
                <w:sz w:val="24"/>
                <w:szCs w:val="24"/>
                <w:rtl/>
              </w:rPr>
            </w:pPr>
            <w:r w:rsidRPr="007B283C">
              <w:rPr>
                <w:rFonts w:ascii="David" w:hAnsi="David" w:cs="David"/>
                <w:color w:val="EE0000"/>
                <w:sz w:val="24"/>
                <w:szCs w:val="24"/>
                <w:rtl/>
              </w:rPr>
              <w:t>בסיפא לסעיף יבוא "העמותה תיתן למציע התראה בכתב בת 7 ימים והזדמנות לתקן את ההפרה."</w:t>
            </w:r>
          </w:p>
        </w:tc>
      </w:tr>
      <w:tr w:rsidR="007B283C" w:rsidRPr="007B283C" w14:paraId="73D2362D" w14:textId="77777777" w:rsidTr="001945CB">
        <w:trPr>
          <w:trHeight w:val="576"/>
        </w:trPr>
        <w:tc>
          <w:tcPr>
            <w:tcW w:w="813" w:type="dxa"/>
          </w:tcPr>
          <w:p w14:paraId="3A180C17"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4794905E"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16</w:t>
            </w:r>
          </w:p>
        </w:tc>
        <w:tc>
          <w:tcPr>
            <w:tcW w:w="719" w:type="dxa"/>
          </w:tcPr>
          <w:p w14:paraId="297340F7"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14.1</w:t>
            </w:r>
          </w:p>
        </w:tc>
        <w:tc>
          <w:tcPr>
            <w:tcW w:w="3260" w:type="dxa"/>
          </w:tcPr>
          <w:p w14:paraId="458FFCE7"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להוסיף כי כל שינוי בפירוט השירותים שאינו מופיע בהסכם ובמכרז יהיה כפוף לקבלת הסכמת הספק בכתב ומראש.</w:t>
            </w:r>
          </w:p>
        </w:tc>
        <w:tc>
          <w:tcPr>
            <w:tcW w:w="3260" w:type="dxa"/>
          </w:tcPr>
          <w:p w14:paraId="3FE5F419"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u w:val="single"/>
                <w:rtl/>
              </w:rPr>
              <w:t>להלן נוסחו המתוקן של סעיף 14.1.</w:t>
            </w:r>
            <w:r w:rsidRPr="007B283C">
              <w:rPr>
                <w:rFonts w:ascii="David" w:hAnsi="David" w:cs="David"/>
                <w:color w:val="EE0000"/>
                <w:sz w:val="24"/>
                <w:szCs w:val="24"/>
                <w:rtl/>
              </w:rPr>
              <w:t xml:space="preserve"> – "כל שינוי בפירוט השירותים שאינו מצוין בהסכם ובמכרז יהא כפוף לקבלת המציע מראש ובכתב."</w:t>
            </w:r>
          </w:p>
        </w:tc>
      </w:tr>
      <w:tr w:rsidR="007B283C" w:rsidRPr="007B283C" w14:paraId="3E2E0D43" w14:textId="77777777" w:rsidTr="001945CB">
        <w:trPr>
          <w:trHeight w:val="576"/>
        </w:trPr>
        <w:tc>
          <w:tcPr>
            <w:tcW w:w="813" w:type="dxa"/>
          </w:tcPr>
          <w:p w14:paraId="6275470B"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48336403"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16</w:t>
            </w:r>
          </w:p>
        </w:tc>
        <w:tc>
          <w:tcPr>
            <w:tcW w:w="719" w:type="dxa"/>
          </w:tcPr>
          <w:p w14:paraId="769099F5"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14.8</w:t>
            </w:r>
          </w:p>
        </w:tc>
        <w:tc>
          <w:tcPr>
            <w:tcW w:w="3260" w:type="dxa"/>
          </w:tcPr>
          <w:p w14:paraId="246F4829"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נבקש למחוק את המילים "בפקסימיליה בתוספת לאישור טלפוני על קבלת הפקס"</w:t>
            </w:r>
          </w:p>
        </w:tc>
        <w:tc>
          <w:tcPr>
            <w:tcW w:w="3260" w:type="dxa"/>
          </w:tcPr>
          <w:p w14:paraId="5C3025FC"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rtl/>
              </w:rPr>
              <w:t>תימחקנה המילים ב"פקסמיליה בתוספת לאישור טלפוני על קבלת הפקס"</w:t>
            </w:r>
          </w:p>
        </w:tc>
      </w:tr>
      <w:tr w:rsidR="007B283C" w:rsidRPr="007B283C" w14:paraId="513A9D99" w14:textId="77777777" w:rsidTr="001945CB">
        <w:trPr>
          <w:trHeight w:val="576"/>
        </w:trPr>
        <w:tc>
          <w:tcPr>
            <w:tcW w:w="813" w:type="dxa"/>
          </w:tcPr>
          <w:p w14:paraId="07BF9F95" w14:textId="77777777" w:rsidR="007B283C" w:rsidRPr="007B283C" w:rsidRDefault="007B283C" w:rsidP="007B283C">
            <w:pPr>
              <w:pStyle w:val="Heading1"/>
              <w:keepNext w:val="0"/>
              <w:keepLines w:val="0"/>
              <w:widowControl w:val="0"/>
              <w:numPr>
                <w:ilvl w:val="0"/>
                <w:numId w:val="1"/>
              </w:numPr>
              <w:spacing w:before="0" w:after="0" w:line="240" w:lineRule="auto"/>
              <w:ind w:left="318" w:hanging="283"/>
              <w:jc w:val="center"/>
              <w:rPr>
                <w:rFonts w:ascii="David" w:hAnsi="David" w:cs="David"/>
                <w:sz w:val="24"/>
                <w:szCs w:val="24"/>
                <w:rtl/>
              </w:rPr>
            </w:pPr>
          </w:p>
        </w:tc>
        <w:tc>
          <w:tcPr>
            <w:tcW w:w="714" w:type="dxa"/>
          </w:tcPr>
          <w:p w14:paraId="5D59BB3E" w14:textId="77777777" w:rsidR="007B283C" w:rsidRPr="007B283C" w:rsidRDefault="007B283C" w:rsidP="001945CB">
            <w:pPr>
              <w:pStyle w:val="Heading1"/>
              <w:keepNext w:val="0"/>
              <w:widowControl w:val="0"/>
              <w:jc w:val="center"/>
              <w:rPr>
                <w:rFonts w:ascii="David" w:hAnsi="David" w:cs="David"/>
                <w:sz w:val="24"/>
                <w:szCs w:val="24"/>
                <w:rtl/>
              </w:rPr>
            </w:pPr>
            <w:r w:rsidRPr="007B283C">
              <w:rPr>
                <w:rFonts w:ascii="David" w:hAnsi="David" w:cs="David"/>
                <w:sz w:val="24"/>
                <w:szCs w:val="24"/>
                <w:rtl/>
              </w:rPr>
              <w:t>16</w:t>
            </w:r>
          </w:p>
        </w:tc>
        <w:tc>
          <w:tcPr>
            <w:tcW w:w="719" w:type="dxa"/>
          </w:tcPr>
          <w:p w14:paraId="5671287E" w14:textId="77777777" w:rsidR="007B283C" w:rsidRPr="007B283C" w:rsidRDefault="007B283C" w:rsidP="001945CB">
            <w:pPr>
              <w:pStyle w:val="Heading1"/>
              <w:keepNext w:val="0"/>
              <w:widowControl w:val="0"/>
              <w:tabs>
                <w:tab w:val="center" w:pos="317"/>
              </w:tabs>
              <w:jc w:val="center"/>
              <w:rPr>
                <w:rFonts w:ascii="David" w:hAnsi="David" w:cs="David"/>
                <w:sz w:val="24"/>
                <w:szCs w:val="24"/>
                <w:rtl/>
              </w:rPr>
            </w:pPr>
            <w:r w:rsidRPr="007B283C">
              <w:rPr>
                <w:rFonts w:ascii="David" w:hAnsi="David" w:cs="David"/>
                <w:sz w:val="24"/>
                <w:szCs w:val="24"/>
                <w:rtl/>
              </w:rPr>
              <w:t>14.9</w:t>
            </w:r>
          </w:p>
        </w:tc>
        <w:tc>
          <w:tcPr>
            <w:tcW w:w="3260" w:type="dxa"/>
          </w:tcPr>
          <w:p w14:paraId="4E2B43FD" w14:textId="77777777" w:rsidR="007B283C" w:rsidRPr="007B283C" w:rsidRDefault="007B283C" w:rsidP="001945CB">
            <w:pPr>
              <w:pStyle w:val="Heading1"/>
              <w:jc w:val="both"/>
              <w:rPr>
                <w:rFonts w:ascii="David" w:hAnsi="David" w:cs="David"/>
                <w:sz w:val="24"/>
                <w:szCs w:val="24"/>
                <w:rtl/>
              </w:rPr>
            </w:pPr>
            <w:r w:rsidRPr="007B283C">
              <w:rPr>
                <w:rFonts w:ascii="David" w:hAnsi="David" w:cs="David"/>
                <w:sz w:val="24"/>
                <w:szCs w:val="24"/>
                <w:rtl/>
              </w:rPr>
              <w:t>סעיף זה צריך להיות מנוסח בצורה הדדית ולחול על שני הצדדים כאחד</w:t>
            </w:r>
          </w:p>
        </w:tc>
        <w:tc>
          <w:tcPr>
            <w:tcW w:w="3260" w:type="dxa"/>
          </w:tcPr>
          <w:p w14:paraId="6CDC0F0F" w14:textId="77777777" w:rsidR="007B283C" w:rsidRPr="007B283C" w:rsidRDefault="007B283C" w:rsidP="001945CB">
            <w:pPr>
              <w:pStyle w:val="Heading1"/>
              <w:jc w:val="both"/>
              <w:rPr>
                <w:rFonts w:ascii="David" w:hAnsi="David" w:cs="David"/>
                <w:color w:val="EE0000"/>
                <w:sz w:val="24"/>
                <w:szCs w:val="24"/>
                <w:rtl/>
              </w:rPr>
            </w:pPr>
            <w:r w:rsidRPr="007B283C">
              <w:rPr>
                <w:rFonts w:ascii="David" w:hAnsi="David" w:cs="David"/>
                <w:color w:val="EE0000"/>
                <w:sz w:val="24"/>
                <w:szCs w:val="24"/>
                <w:u w:val="single"/>
                <w:rtl/>
              </w:rPr>
              <w:t>להלן נוסחו המתוקן של סעיף 14.9.</w:t>
            </w:r>
            <w:r w:rsidRPr="007B283C">
              <w:rPr>
                <w:rFonts w:ascii="David" w:hAnsi="David" w:cs="David"/>
                <w:color w:val="EE0000"/>
                <w:sz w:val="24"/>
                <w:szCs w:val="24"/>
                <w:rtl/>
              </w:rPr>
              <w:t xml:space="preserve"> – "כל מעשה ו/או מחדל ו/או הימנעות מדרישה ו/או הסכמה ו/או השתקה ו/או ויתור ו/או השתהות לא יהוו השתק ו/או מניעות ו/או ויתור על זכות של צד להסכם זה ו/או כל דין והסכמת צד לסטות מתנאי הסכם זה במקרה מסוים לא תהווה תקדים ולא ילמדו ממנה גזירה שווה למקרה אחר."</w:t>
            </w:r>
          </w:p>
        </w:tc>
      </w:tr>
    </w:tbl>
    <w:p w14:paraId="50BCC6D4" w14:textId="77777777" w:rsidR="007B283C" w:rsidRPr="007B283C" w:rsidRDefault="007B283C" w:rsidP="007B283C">
      <w:pPr>
        <w:autoSpaceDE w:val="0"/>
        <w:autoSpaceDN w:val="0"/>
        <w:bidi w:val="0"/>
        <w:adjustRightInd w:val="0"/>
        <w:spacing w:after="0" w:line="240" w:lineRule="auto"/>
        <w:rPr>
          <w:rFonts w:ascii="David" w:hAnsi="David" w:cs="David"/>
          <w:color w:val="EF0000"/>
          <w:sz w:val="24"/>
          <w:szCs w:val="24"/>
        </w:rPr>
      </w:pPr>
      <w:r w:rsidRPr="007B283C">
        <w:rPr>
          <w:rFonts w:ascii="David" w:hAnsi="David" w:cs="David"/>
          <w:color w:val="EF0000"/>
          <w:sz w:val="24"/>
          <w:szCs w:val="24"/>
          <w:rtl/>
        </w:rPr>
        <w:t>נוסח מתוקן של כתב ערבות (נספח ד')</w:t>
      </w:r>
    </w:p>
    <w:p w14:paraId="7524A175" w14:textId="77777777" w:rsidR="007B283C" w:rsidRPr="007B283C" w:rsidRDefault="007B283C" w:rsidP="007B283C">
      <w:pPr>
        <w:pStyle w:val="Heading1"/>
        <w:keepNext w:val="0"/>
        <w:widowControl w:val="0"/>
        <w:ind w:left="5760"/>
        <w:jc w:val="both"/>
        <w:rPr>
          <w:rFonts w:ascii="David" w:hAnsi="David" w:cs="David"/>
          <w:sz w:val="24"/>
          <w:szCs w:val="24"/>
          <w:rtl/>
        </w:rPr>
      </w:pPr>
      <w:r w:rsidRPr="007B283C">
        <w:rPr>
          <w:rFonts w:ascii="David" w:eastAsiaTheme="minorHAnsi" w:hAnsi="David" w:cs="David"/>
          <w:color w:val="EF0000"/>
          <w:sz w:val="24"/>
          <w:szCs w:val="24"/>
          <w:rtl/>
        </w:rPr>
        <w:t>יפורסם באתר האינטרנט של העמותה</w:t>
      </w:r>
    </w:p>
    <w:p w14:paraId="53145B7A" w14:textId="77777777" w:rsidR="00911A1E" w:rsidRPr="007B283C" w:rsidRDefault="00911A1E" w:rsidP="007B283C">
      <w:pPr>
        <w:rPr>
          <w:rFonts w:ascii="David" w:hAnsi="David" w:cs="David"/>
          <w:sz w:val="24"/>
          <w:szCs w:val="24"/>
        </w:rPr>
      </w:pPr>
    </w:p>
    <w:sectPr w:rsidR="00911A1E" w:rsidRPr="007B2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4564C"/>
    <w:multiLevelType w:val="hybridMultilevel"/>
    <w:tmpl w:val="F94EB624"/>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9161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83C"/>
    <w:rsid w:val="002A6853"/>
    <w:rsid w:val="005120B5"/>
    <w:rsid w:val="00665070"/>
    <w:rsid w:val="007B283C"/>
    <w:rsid w:val="008747A0"/>
    <w:rsid w:val="00911A1E"/>
    <w:rsid w:val="00C323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63BD1"/>
  <w15:chartTrackingRefBased/>
  <w15:docId w15:val="{93C6499F-2A93-4FC5-BD81-3B8ED354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83C"/>
    <w:pPr>
      <w:bidi/>
      <w:spacing w:line="259" w:lineRule="auto"/>
    </w:pPr>
    <w:rPr>
      <w:kern w:val="0"/>
      <w:sz w:val="22"/>
      <w:szCs w:val="22"/>
      <w:lang w:bidi="he-IL"/>
      <w14:ligatures w14:val="none"/>
    </w:rPr>
  </w:style>
  <w:style w:type="paragraph" w:styleId="Heading1">
    <w:name w:val="heading 1"/>
    <w:basedOn w:val="Normal"/>
    <w:next w:val="Normal"/>
    <w:link w:val="Heading1Char"/>
    <w:qFormat/>
    <w:rsid w:val="007B2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8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8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8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8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8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8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8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28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8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8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8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8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8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8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8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83C"/>
    <w:rPr>
      <w:rFonts w:eastAsiaTheme="majorEastAsia" w:cstheme="majorBidi"/>
      <w:color w:val="272727" w:themeColor="text1" w:themeTint="D8"/>
    </w:rPr>
  </w:style>
  <w:style w:type="paragraph" w:styleId="Title">
    <w:name w:val="Title"/>
    <w:basedOn w:val="Normal"/>
    <w:next w:val="Normal"/>
    <w:link w:val="TitleChar"/>
    <w:uiPriority w:val="10"/>
    <w:qFormat/>
    <w:rsid w:val="007B2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8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8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8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83C"/>
    <w:pPr>
      <w:spacing w:before="160"/>
      <w:jc w:val="center"/>
    </w:pPr>
    <w:rPr>
      <w:i/>
      <w:iCs/>
      <w:color w:val="404040" w:themeColor="text1" w:themeTint="BF"/>
    </w:rPr>
  </w:style>
  <w:style w:type="character" w:customStyle="1" w:styleId="QuoteChar">
    <w:name w:val="Quote Char"/>
    <w:basedOn w:val="DefaultParagraphFont"/>
    <w:link w:val="Quote"/>
    <w:uiPriority w:val="29"/>
    <w:rsid w:val="007B283C"/>
    <w:rPr>
      <w:i/>
      <w:iCs/>
      <w:color w:val="404040" w:themeColor="text1" w:themeTint="BF"/>
    </w:rPr>
  </w:style>
  <w:style w:type="paragraph" w:styleId="ListParagraph">
    <w:name w:val="List Paragraph"/>
    <w:basedOn w:val="Normal"/>
    <w:uiPriority w:val="34"/>
    <w:qFormat/>
    <w:rsid w:val="007B283C"/>
    <w:pPr>
      <w:ind w:left="720"/>
      <w:contextualSpacing/>
    </w:pPr>
  </w:style>
  <w:style w:type="character" w:styleId="IntenseEmphasis">
    <w:name w:val="Intense Emphasis"/>
    <w:basedOn w:val="DefaultParagraphFont"/>
    <w:uiPriority w:val="21"/>
    <w:qFormat/>
    <w:rsid w:val="007B283C"/>
    <w:rPr>
      <w:i/>
      <w:iCs/>
      <w:color w:val="0F4761" w:themeColor="accent1" w:themeShade="BF"/>
    </w:rPr>
  </w:style>
  <w:style w:type="paragraph" w:styleId="IntenseQuote">
    <w:name w:val="Intense Quote"/>
    <w:basedOn w:val="Normal"/>
    <w:next w:val="Normal"/>
    <w:link w:val="IntenseQuoteChar"/>
    <w:uiPriority w:val="30"/>
    <w:qFormat/>
    <w:rsid w:val="007B2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83C"/>
    <w:rPr>
      <w:i/>
      <w:iCs/>
      <w:color w:val="0F4761" w:themeColor="accent1" w:themeShade="BF"/>
    </w:rPr>
  </w:style>
  <w:style w:type="character" w:styleId="IntenseReference">
    <w:name w:val="Intense Reference"/>
    <w:basedOn w:val="DefaultParagraphFont"/>
    <w:uiPriority w:val="32"/>
    <w:qFormat/>
    <w:rsid w:val="007B283C"/>
    <w:rPr>
      <w:b/>
      <w:bCs/>
      <w:smallCaps/>
      <w:color w:val="0F4761" w:themeColor="accent1" w:themeShade="BF"/>
      <w:spacing w:val="5"/>
    </w:rPr>
  </w:style>
  <w:style w:type="table" w:styleId="TableGrid">
    <w:name w:val="Table Grid"/>
    <w:basedOn w:val="TableNormal"/>
    <w:uiPriority w:val="39"/>
    <w:rsid w:val="007B283C"/>
    <w:pPr>
      <w:spacing w:after="0" w:line="240" w:lineRule="auto"/>
    </w:pPr>
    <w:rPr>
      <w:kern w:val="0"/>
      <w:sz w:val="22"/>
      <w:szCs w:val="22"/>
      <w:lang w:bidi="he-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1035</Words>
  <Characters>4642</Characters>
  <Application>Microsoft Office Word</Application>
  <DocSecurity>0</DocSecurity>
  <Lines>262</Lines>
  <Paragraphs>100</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 Breyer, Adv.</dc:creator>
  <cp:keywords/>
  <dc:description/>
  <cp:lastModifiedBy>Ran Breyer, Adv.</cp:lastModifiedBy>
  <cp:revision>1</cp:revision>
  <dcterms:created xsi:type="dcterms:W3CDTF">2025-11-17T10:20:00Z</dcterms:created>
  <dcterms:modified xsi:type="dcterms:W3CDTF">2025-11-17T10:22:00Z</dcterms:modified>
</cp:coreProperties>
</file>